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DOUGLAS A. DUCEY</w:t>
      </w:r>
    </w:p>
    <w:p w:rsidR="00000000" w:rsidDel="00000000" w:rsidP="00000000" w:rsidRDefault="00000000" w:rsidRPr="00000000" w14:paraId="00000003">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Governor </w:t>
      </w:r>
    </w:p>
    <w:p w:rsidR="00000000" w:rsidDel="00000000" w:rsidP="00000000" w:rsidRDefault="00000000" w:rsidRPr="00000000" w14:paraId="00000004">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br w:type="column"/>
      </w:r>
      <w:r w:rsidDel="00000000" w:rsidR="00000000" w:rsidRPr="00000000">
        <w:rPr>
          <w:vertAlign w:val="baseline"/>
        </w:rPr>
        <w:drawing>
          <wp:inline distB="0" distT="0" distL="114300" distR="114300">
            <wp:extent cx="1795145" cy="8851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95145" cy="8851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MARK W. KILLIAN</w:t>
      </w:r>
    </w:p>
    <w:p w:rsidR="00000000" w:rsidDel="00000000" w:rsidP="00000000" w:rsidRDefault="00000000" w:rsidRPr="00000000" w14:paraId="00000008">
      <w:pPr>
        <w:pageBreakBefore w:val="0"/>
        <w:jc w:val="center"/>
        <w:rPr>
          <w:rFonts w:ascii="Arial" w:cs="Arial" w:eastAsia="Arial" w:hAnsi="Arial"/>
          <w:sz w:val="16"/>
          <w:szCs w:val="16"/>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630" w:left="450" w:right="810" w:header="720" w:footer="585"/>
          <w:pgNumType w:start="1"/>
          <w:cols w:equalWidth="0" w:num="3">
            <w:col w:space="360" w:w="3420"/>
            <w:col w:space="360" w:w="3420"/>
            <w:col w:space="0" w:w="3420"/>
          </w:cols>
        </w:sectPr>
      </w:pPr>
      <w:r w:rsidDel="00000000" w:rsidR="00000000" w:rsidRPr="00000000">
        <w:rPr>
          <w:rFonts w:ascii="Arial" w:cs="Arial" w:eastAsia="Arial" w:hAnsi="Arial"/>
          <w:sz w:val="16"/>
          <w:szCs w:val="16"/>
          <w:vertAlign w:val="baseline"/>
          <w:rtl w:val="0"/>
        </w:rPr>
        <w:t xml:space="preserve">Director</w:t>
      </w:r>
    </w:p>
    <w:p w:rsidR="00000000" w:rsidDel="00000000" w:rsidP="00000000" w:rsidRDefault="00000000" w:rsidRPr="00000000" w14:paraId="00000009">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pStyle w:val="Heading1"/>
        <w:pageBreakBefore w:val="0"/>
        <w:rPr>
          <w:rFonts w:ascii="Garamond" w:cs="Garamond" w:eastAsia="Garamond" w:hAnsi="Garamond"/>
          <w:sz w:val="68"/>
          <w:szCs w:val="68"/>
          <w:vertAlign w:val="baseline"/>
        </w:rPr>
      </w:pPr>
      <w:r w:rsidDel="00000000" w:rsidR="00000000" w:rsidRPr="00000000">
        <w:rPr>
          <w:rFonts w:ascii="Garamond" w:cs="Garamond" w:eastAsia="Garamond" w:hAnsi="Garamond"/>
          <w:sz w:val="68"/>
          <w:szCs w:val="68"/>
          <w:vertAlign w:val="baseline"/>
          <w:rtl w:val="0"/>
        </w:rPr>
        <w:t xml:space="preserve">Arizona Department of Agriculture</w:t>
      </w:r>
    </w:p>
    <w:p w:rsidR="00000000" w:rsidDel="00000000" w:rsidP="00000000" w:rsidRDefault="00000000" w:rsidRPr="00000000" w14:paraId="0000000B">
      <w:pPr>
        <w:pageBreakBefore w:val="0"/>
        <w:jc w:val="center"/>
        <w:rPr>
          <w:vertAlign w:val="baseline"/>
        </w:rPr>
      </w:pPr>
      <w:r w:rsidDel="00000000" w:rsidR="00000000" w:rsidRPr="00000000">
        <w:rPr>
          <w:vertAlign w:val="baseline"/>
          <w:rtl w:val="0"/>
        </w:rPr>
        <w:t xml:space="preserve">Office of the Director</w:t>
      </w:r>
    </w:p>
    <w:p w:rsidR="00000000" w:rsidDel="00000000" w:rsidP="00000000" w:rsidRDefault="00000000" w:rsidRPr="00000000" w14:paraId="0000000C">
      <w:pPr>
        <w:pageBreakBefore w:val="0"/>
        <w:jc w:val="center"/>
        <w:rPr>
          <w:sz w:val="18"/>
          <w:szCs w:val="18"/>
          <w:vertAlign w:val="baseline"/>
        </w:rPr>
      </w:pPr>
      <w:r w:rsidDel="00000000" w:rsidR="00000000" w:rsidRPr="00000000">
        <w:rPr>
          <w:rtl w:val="0"/>
        </w:rPr>
        <w:t xml:space="preserve">1110 W. Washington St</w:t>
      </w:r>
      <w:r w:rsidDel="00000000" w:rsidR="00000000" w:rsidRPr="00000000">
        <w:rPr>
          <w:sz w:val="18"/>
          <w:szCs w:val="18"/>
          <w:vertAlign w:val="baseline"/>
          <w:rtl w:val="0"/>
        </w:rPr>
        <w:t xml:space="preserve">reet, Suite 450</w:t>
      </w:r>
    </w:p>
    <w:p w:rsidR="00000000" w:rsidDel="00000000" w:rsidP="00000000" w:rsidRDefault="00000000" w:rsidRPr="00000000" w14:paraId="0000000D">
      <w:pPr>
        <w:pageBreakBefore w:val="0"/>
        <w:jc w:val="center"/>
        <w:rPr>
          <w:sz w:val="18"/>
          <w:szCs w:val="18"/>
          <w:vertAlign w:val="baseline"/>
        </w:rPr>
      </w:pPr>
      <w:r w:rsidDel="00000000" w:rsidR="00000000" w:rsidRPr="00000000">
        <w:rPr>
          <w:sz w:val="18"/>
          <w:szCs w:val="18"/>
          <w:vertAlign w:val="baseline"/>
          <w:rtl w:val="0"/>
        </w:rPr>
        <w:t xml:space="preserve">Phoenix, Arizona 85007</w:t>
      </w:r>
    </w:p>
    <w:p w:rsidR="00000000" w:rsidDel="00000000" w:rsidP="00000000" w:rsidRDefault="00000000" w:rsidRPr="00000000" w14:paraId="0000000E">
      <w:pPr>
        <w:pageBreakBefore w:val="0"/>
        <w:spacing w:after="120" w:lineRule="auto"/>
        <w:jc w:val="center"/>
        <w:rPr>
          <w:sz w:val="18"/>
          <w:szCs w:val="18"/>
          <w:vertAlign w:val="baseline"/>
        </w:rPr>
      </w:pPr>
      <w:r w:rsidDel="00000000" w:rsidR="00000000" w:rsidRPr="00000000">
        <w:rPr>
          <w:sz w:val="18"/>
          <w:szCs w:val="18"/>
          <w:vertAlign w:val="baseline"/>
          <w:rtl w:val="0"/>
        </w:rPr>
        <w:t xml:space="preserve">(602) 542-3191 FAX (602) 542-5420</w:t>
      </w:r>
    </w:p>
    <w:p w:rsidR="00000000" w:rsidDel="00000000" w:rsidP="00000000" w:rsidRDefault="00000000" w:rsidRPr="00000000" w14:paraId="0000000F">
      <w:pPr>
        <w:pageBreakBefore w:val="0"/>
        <w:spacing w:after="120" w:lineRule="auto"/>
        <w:jc w:val="center"/>
        <w:rPr>
          <w:vertAlign w:val="baseline"/>
        </w:rPr>
      </w:pPr>
      <w:r w:rsidDel="00000000" w:rsidR="00000000" w:rsidRPr="00000000">
        <w:rPr>
          <w:vertAlign w:val="baseline"/>
          <w:rtl w:val="0"/>
        </w:rPr>
        <w:t xml:space="preserve">Notice of Meeting Agenda of the Arizona Department of Agriculture (AZDA), Food and Agriculture Policy Advisory Committee</w:t>
      </w:r>
    </w:p>
    <w:p w:rsidR="00000000" w:rsidDel="00000000" w:rsidP="00000000" w:rsidRDefault="00000000" w:rsidRPr="00000000" w14:paraId="00000010">
      <w:pPr>
        <w:pageBreakBefore w:val="0"/>
        <w:spacing w:after="120" w:lineRule="auto"/>
        <w:jc w:val="center"/>
        <w:rPr/>
      </w:pPr>
      <w:r w:rsidDel="00000000" w:rsidR="00000000" w:rsidRPr="00000000">
        <w:rPr>
          <w:rtl w:val="0"/>
        </w:rPr>
        <w:t xml:space="preserve">10:00 A.M. July 26, 20221  Join with Google Meet </w:t>
      </w:r>
    </w:p>
    <w:p w:rsidR="00000000" w:rsidDel="00000000" w:rsidP="00000000" w:rsidRDefault="00000000" w:rsidRPr="00000000" w14:paraId="00000011">
      <w:pPr>
        <w:shd w:fill="ffffff" w:val="clear"/>
        <w:spacing w:after="120" w:lineRule="auto"/>
        <w:jc w:val="center"/>
        <w:rPr/>
      </w:pPr>
      <w:r w:rsidDel="00000000" w:rsidR="00000000" w:rsidRPr="00000000">
        <w:rPr>
          <w:rtl w:val="0"/>
        </w:rPr>
      </w:r>
    </w:p>
    <w:p w:rsidR="00000000" w:rsidDel="00000000" w:rsidP="00000000" w:rsidRDefault="00000000" w:rsidRPr="00000000" w14:paraId="00000012">
      <w:pPr>
        <w:shd w:fill="ffffff" w:val="clear"/>
        <w:spacing w:after="20" w:before="20" w:line="617.1428571428572" w:lineRule="auto"/>
        <w:jc w:val="center"/>
        <w:rPr>
          <w:rFonts w:ascii="Roboto" w:cs="Roboto" w:eastAsia="Roboto" w:hAnsi="Roboto"/>
          <w:color w:val="ffffff"/>
          <w:sz w:val="21"/>
          <w:szCs w:val="21"/>
          <w:shd w:fill="1a73e8" w:val="clear"/>
        </w:rPr>
      </w:pPr>
      <w:hyperlink r:id="rId13">
        <w:r w:rsidDel="00000000" w:rsidR="00000000" w:rsidRPr="00000000">
          <w:rPr>
            <w:rFonts w:ascii="Roboto" w:cs="Roboto" w:eastAsia="Roboto" w:hAnsi="Roboto"/>
            <w:color w:val="ffffff"/>
            <w:sz w:val="21"/>
            <w:szCs w:val="21"/>
            <w:shd w:fill="1a73e8" w:val="clear"/>
            <w:rtl w:val="0"/>
          </w:rPr>
          <w:t xml:space="preserve">Join with Google Meet</w:t>
        </w:r>
      </w:hyperlink>
      <w:r w:rsidDel="00000000" w:rsidR="00000000" w:rsidRPr="00000000">
        <w:rPr>
          <w:rtl w:val="0"/>
        </w:rPr>
      </w:r>
    </w:p>
    <w:p w:rsidR="00000000" w:rsidDel="00000000" w:rsidP="00000000" w:rsidRDefault="00000000" w:rsidRPr="00000000" w14:paraId="00000013">
      <w:pPr>
        <w:shd w:fill="ffffff" w:val="clear"/>
        <w:spacing w:after="120" w:line="360" w:lineRule="auto"/>
        <w:jc w:val="center"/>
        <w:rPr/>
      </w:pPr>
      <w:r w:rsidDel="00000000" w:rsidR="00000000" w:rsidRPr="00000000">
        <w:rPr>
          <w:rFonts w:ascii="Roboto" w:cs="Roboto" w:eastAsia="Roboto" w:hAnsi="Roboto"/>
          <w:color w:val="5f6368"/>
          <w:sz w:val="18"/>
          <w:szCs w:val="18"/>
          <w:rtl w:val="0"/>
        </w:rPr>
        <w:t xml:space="preserve">meet.google.com/pxi-vbjm-fcd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widowControl w:val="0"/>
        <w:spacing w:line="276" w:lineRule="auto"/>
        <w:jc w:val="both"/>
        <w:rPr>
          <w:rFonts w:ascii="Roboto" w:cs="Roboto" w:eastAsia="Roboto" w:hAnsi="Roboto"/>
          <w:color w:val="1a73e8"/>
          <w:sz w:val="21"/>
          <w:szCs w:val="21"/>
        </w:rPr>
      </w:pPr>
      <w:r w:rsidDel="00000000" w:rsidR="00000000" w:rsidRPr="00000000">
        <w:rPr>
          <w:rtl w:val="0"/>
        </w:rPr>
        <w:t xml:space="preserve">                                                                                         </w:t>
      </w:r>
      <w:r w:rsidDel="00000000" w:rsidR="00000000" w:rsidRPr="00000000">
        <w:rPr>
          <w:rFonts w:ascii="Roboto" w:cs="Roboto" w:eastAsia="Roboto" w:hAnsi="Roboto"/>
          <w:color w:val="1a73e8"/>
          <w:sz w:val="21"/>
          <w:szCs w:val="21"/>
          <w:rtl w:val="0"/>
        </w:rPr>
        <w:t xml:space="preserve">Join by phone</w:t>
      </w:r>
    </w:p>
    <w:p w:rsidR="00000000" w:rsidDel="00000000" w:rsidP="00000000" w:rsidRDefault="00000000" w:rsidRPr="00000000" w14:paraId="00000015">
      <w:pPr>
        <w:widowControl w:val="0"/>
        <w:shd w:fill="ffffff" w:val="clear"/>
        <w:spacing w:line="360" w:lineRule="auto"/>
        <w:jc w:val="both"/>
        <w:rPr/>
      </w:pPr>
      <w:r w:rsidDel="00000000" w:rsidR="00000000" w:rsidRPr="00000000">
        <w:rPr>
          <w:rFonts w:ascii="Roboto" w:cs="Roboto" w:eastAsia="Roboto" w:hAnsi="Roboto"/>
          <w:color w:val="5f6368"/>
          <w:sz w:val="18"/>
          <w:szCs w:val="18"/>
          <w:rtl w:val="0"/>
        </w:rPr>
        <w:t xml:space="preserve">‪                                                                                 (US) +1 567-707-0121‬ PIN: ‪577 828 130‬#</w:t>
      </w:r>
      <w:r w:rsidDel="00000000" w:rsidR="00000000" w:rsidRPr="00000000">
        <w:rPr>
          <w:rtl w:val="0"/>
        </w:rPr>
        <w:t xml:space="preserve">                                                    </w:t>
      </w:r>
    </w:p>
    <w:tbl>
      <w:tblPr>
        <w:tblStyle w:val="Table1"/>
        <w:tblW w:w="2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5"/>
        <w:tblGridChange w:id="0">
          <w:tblGrid>
            <w:gridCol w:w="2135"/>
          </w:tblGrid>
        </w:tblGridChange>
      </w:tblGrid>
      <w:tr>
        <w:trPr>
          <w:cantSplit w:val="0"/>
          <w:trHeight w:val="4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60.0" w:type="dxa"/>
              <w:right w:w="100.0" w:type="dxa"/>
            </w:tcMar>
            <w:vAlign w:val="top"/>
          </w:tcPr>
          <w:p w:rsidR="00000000" w:rsidDel="00000000" w:rsidP="00000000" w:rsidRDefault="00000000" w:rsidRPr="00000000" w14:paraId="00000016">
            <w:pPr>
              <w:pageBreakBefore w:val="0"/>
              <w:widowControl w:val="0"/>
              <w:spacing w:line="276" w:lineRule="auto"/>
              <w:jc w:val="both"/>
              <w:rPr>
                <w:rFonts w:ascii="Roboto" w:cs="Roboto" w:eastAsia="Roboto" w:hAnsi="Roboto"/>
                <w:color w:val="222222"/>
                <w:sz w:val="22"/>
                <w:szCs w:val="22"/>
              </w:rPr>
            </w:pPr>
            <w:r w:rsidDel="00000000" w:rsidR="00000000" w:rsidRPr="00000000">
              <w:rPr>
                <w:rFonts w:ascii="Arial" w:cs="Arial" w:eastAsia="Arial" w:hAnsi="Arial"/>
                <w:color w:val="888888"/>
                <w:rtl w:val="0"/>
              </w:rPr>
              <w:t xml:space="preserve">                           </w:t>
            </w:r>
            <w:r w:rsidDel="00000000" w:rsidR="00000000" w:rsidRPr="00000000">
              <w:rPr>
                <w:rtl w:val="0"/>
              </w:rPr>
            </w:r>
          </w:p>
        </w:tc>
      </w:tr>
    </w:tbl>
    <w:p w:rsidR="00000000" w:rsidDel="00000000" w:rsidP="00000000" w:rsidRDefault="00000000" w:rsidRPr="00000000" w14:paraId="00000017">
      <w:pPr>
        <w:pageBreakBefore w:val="0"/>
        <w:widowControl w:val="0"/>
        <w:ind w:right="53"/>
        <w:jc w:val="both"/>
        <w:rPr>
          <w:vertAlign w:val="baseline"/>
        </w:rPr>
      </w:pPr>
      <w:r w:rsidDel="00000000" w:rsidR="00000000" w:rsidRPr="00000000">
        <w:rPr>
          <w:vertAlign w:val="baseline"/>
          <w:rtl w:val="0"/>
        </w:rPr>
        <w:t xml:space="preserve">Pursuant to A.R.S. § 38-431.02 notice is hereby given to the members of the AZDA Food &amp; Agriculture Policy Advisory Committee (FAPAC) and to the general public that the AZDA FAPAC will hold a meeting open to the public on July 26, 2022 beginning at 10:00 am at 1110</w:t>
      </w:r>
      <w:r w:rsidDel="00000000" w:rsidR="00000000" w:rsidRPr="00000000">
        <w:rPr>
          <w:rtl w:val="0"/>
        </w:rPr>
        <w:t xml:space="preserve"> W. Washington, Suite 450.</w:t>
      </w:r>
      <w:r w:rsidDel="00000000" w:rsidR="00000000" w:rsidRPr="00000000">
        <w:rPr>
          <w:vertAlign w:val="baseline"/>
          <w:rtl w:val="0"/>
        </w:rPr>
        <w:t xml:space="preserve"> The FAPAC may vote to hold an executive session for the purpose of obtaining legal</w:t>
      </w:r>
      <w:r w:rsidDel="00000000" w:rsidR="00000000" w:rsidRPr="00000000">
        <w:rPr>
          <w:rtl w:val="0"/>
        </w:rPr>
        <w:t xml:space="preserve"> advice on an</w:t>
      </w:r>
      <w:r w:rsidDel="00000000" w:rsidR="00000000" w:rsidRPr="00000000">
        <w:rPr>
          <w:vertAlign w:val="baseline"/>
          <w:rtl w:val="0"/>
        </w:rPr>
        <w:t xml:space="preserve">y matter listed on the agenda pursuant to A.R.S. 38-431.03 (A)(3). The FAPAC may take formal action on any of the agenda items listed below. For the convenience of the FAPAC and the public, the order of the agenda items may be changed at the discretion of the Chair. The agenda for the meeting is as follows:</w:t>
      </w:r>
    </w:p>
    <w:p w:rsidR="00000000" w:rsidDel="00000000" w:rsidP="00000000" w:rsidRDefault="00000000" w:rsidRPr="00000000" w14:paraId="00000018">
      <w:pPr>
        <w:pageBreakBefore w:val="0"/>
        <w:widowControl w:val="0"/>
        <w:spacing w:before="11"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pageBreakBefore w:val="0"/>
        <w:widowControl w:val="0"/>
        <w:tabs>
          <w:tab w:val="left" w:pos="520"/>
          <w:tab w:val="left" w:pos="6640"/>
        </w:tabs>
        <w:ind w:right="-20"/>
        <w:rPr>
          <w:rFonts w:ascii="Calibri" w:cs="Calibri" w:eastAsia="Calibri" w:hAnsi="Calibri"/>
          <w:vertAlign w:val="baseline"/>
        </w:rPr>
      </w:pPr>
      <w:r w:rsidDel="00000000" w:rsidR="00000000" w:rsidRPr="00000000">
        <w:rPr>
          <w:vertAlign w:val="baseline"/>
          <w:rtl w:val="0"/>
        </w:rPr>
        <w:t xml:space="preserve">1.</w:t>
        <w:tab/>
      </w:r>
      <w:r w:rsidDel="00000000" w:rsidR="00000000" w:rsidRPr="00000000">
        <w:rPr>
          <w:u w:val="single"/>
          <w:vertAlign w:val="baseline"/>
          <w:rtl w:val="0"/>
        </w:rPr>
        <w:t xml:space="preserve">Call to Order</w:t>
      </w:r>
      <w:r w:rsidDel="00000000" w:rsidR="00000000" w:rsidRPr="00000000">
        <w:rPr>
          <w:vertAlign w:val="baseline"/>
          <w:rtl w:val="0"/>
        </w:rPr>
        <w:tab/>
        <w:t xml:space="preserve">Liz Taylor, Chair</w:t>
      </w:r>
      <w:r w:rsidDel="00000000" w:rsidR="00000000" w:rsidRPr="00000000">
        <w:rPr>
          <w:rtl w:val="0"/>
        </w:rPr>
      </w:r>
    </w:p>
    <w:p w:rsidR="00000000" w:rsidDel="00000000" w:rsidP="00000000" w:rsidRDefault="00000000" w:rsidRPr="00000000" w14:paraId="0000001A">
      <w:pPr>
        <w:pageBreakBefore w:val="0"/>
        <w:widowControl w:val="0"/>
        <w:tabs>
          <w:tab w:val="left" w:pos="520"/>
          <w:tab w:val="left" w:pos="6640"/>
        </w:tabs>
        <w:spacing w:before="33" w:lineRule="auto"/>
        <w:ind w:right="-20"/>
        <w:rPr>
          <w:vertAlign w:val="baseline"/>
        </w:rPr>
      </w:pPr>
      <w:r w:rsidDel="00000000" w:rsidR="00000000" w:rsidRPr="00000000">
        <w:rPr>
          <w:vertAlign w:val="baseline"/>
          <w:rtl w:val="0"/>
        </w:rPr>
        <w:t xml:space="preserve">2.</w:t>
        <w:tab/>
      </w:r>
      <w:r w:rsidDel="00000000" w:rsidR="00000000" w:rsidRPr="00000000">
        <w:rPr>
          <w:u w:val="single"/>
          <w:vertAlign w:val="baseline"/>
          <w:rtl w:val="0"/>
        </w:rPr>
        <w:t xml:space="preserve">Roll Call</w:t>
      </w:r>
      <w:r w:rsidDel="00000000" w:rsidR="00000000" w:rsidRPr="00000000">
        <w:rPr>
          <w:vertAlign w:val="baseline"/>
          <w:rtl w:val="0"/>
        </w:rPr>
        <w:t xml:space="preserve"> </w:t>
        <w:tab/>
        <w:t xml:space="preserve">Michele Mellott</w:t>
      </w:r>
    </w:p>
    <w:p w:rsidR="00000000" w:rsidDel="00000000" w:rsidP="00000000" w:rsidRDefault="00000000" w:rsidRPr="00000000" w14:paraId="0000001B">
      <w:pPr>
        <w:pageBreakBefore w:val="0"/>
        <w:widowControl w:val="0"/>
        <w:tabs>
          <w:tab w:val="left" w:pos="520"/>
          <w:tab w:val="left" w:pos="6640"/>
        </w:tabs>
        <w:spacing w:before="33" w:lineRule="auto"/>
        <w:ind w:right="-20"/>
        <w:rPr>
          <w:vertAlign w:val="baseline"/>
        </w:rPr>
      </w:pPr>
      <w:r w:rsidDel="00000000" w:rsidR="00000000" w:rsidRPr="00000000">
        <w:rPr>
          <w:vertAlign w:val="baseline"/>
          <w:rtl w:val="0"/>
        </w:rPr>
        <w:t xml:space="preserve">3.</w:t>
        <w:tab/>
      </w:r>
      <w:r w:rsidDel="00000000" w:rsidR="00000000" w:rsidRPr="00000000">
        <w:rPr>
          <w:u w:val="single"/>
          <w:rtl w:val="0"/>
        </w:rPr>
        <w:t xml:space="preserve">Approval of minutes</w:t>
      </w:r>
      <w:r w:rsidDel="00000000" w:rsidR="00000000" w:rsidRPr="00000000">
        <w:rPr>
          <w:vertAlign w:val="baseline"/>
          <w:rtl w:val="0"/>
        </w:rPr>
        <w:tab/>
      </w:r>
      <w:hyperlink r:id="rId14">
        <w:r w:rsidDel="00000000" w:rsidR="00000000" w:rsidRPr="00000000">
          <w:rPr>
            <w:color w:val="0000ee"/>
            <w:u w:val="single"/>
            <w:shd w:fill="auto" w:val="clear"/>
            <w:rtl w:val="0"/>
          </w:rPr>
          <w:t xml:space="preserve">Michele Mellott</w:t>
        </w:r>
      </w:hyperlink>
      <w:r w:rsidDel="00000000" w:rsidR="00000000" w:rsidRPr="00000000">
        <w:rPr>
          <w:rtl w:val="0"/>
        </w:rPr>
      </w:r>
    </w:p>
    <w:p w:rsidR="00000000" w:rsidDel="00000000" w:rsidP="00000000" w:rsidRDefault="00000000" w:rsidRPr="00000000" w14:paraId="0000001C">
      <w:pPr>
        <w:pageBreakBefore w:val="0"/>
        <w:widowControl w:val="0"/>
        <w:tabs>
          <w:tab w:val="left" w:pos="520"/>
          <w:tab w:val="left" w:pos="6640"/>
        </w:tabs>
        <w:spacing w:before="33" w:lineRule="auto"/>
        <w:ind w:right="-20"/>
        <w:rPr>
          <w:vertAlign w:val="baseline"/>
        </w:rPr>
      </w:pPr>
      <w:r w:rsidDel="00000000" w:rsidR="00000000" w:rsidRPr="00000000">
        <w:rPr>
          <w:vertAlign w:val="baseline"/>
          <w:rtl w:val="0"/>
        </w:rPr>
        <w:t xml:space="preserve">4.</w:t>
        <w:tab/>
      </w:r>
      <w:r w:rsidDel="00000000" w:rsidR="00000000" w:rsidRPr="00000000">
        <w:rPr>
          <w:u w:val="single"/>
          <w:rtl w:val="0"/>
        </w:rPr>
        <w:t xml:space="preserve">Welcome and Update</w:t>
      </w:r>
      <w:r w:rsidDel="00000000" w:rsidR="00000000" w:rsidRPr="00000000">
        <w:rPr>
          <w:vertAlign w:val="baseline"/>
          <w:rtl w:val="0"/>
        </w:rPr>
        <w:t xml:space="preserve"> </w:t>
        <w:tab/>
        <w:t xml:space="preserve">Li</w:t>
      </w:r>
      <w:r w:rsidDel="00000000" w:rsidR="00000000" w:rsidRPr="00000000">
        <w:rPr>
          <w:rtl w:val="0"/>
        </w:rPr>
        <w:t xml:space="preserve">z Taylor</w:t>
      </w:r>
      <w:r w:rsidDel="00000000" w:rsidR="00000000" w:rsidRPr="00000000">
        <w:rPr>
          <w:rtl w:val="0"/>
        </w:rPr>
      </w:r>
    </w:p>
    <w:p w:rsidR="00000000" w:rsidDel="00000000" w:rsidP="00000000" w:rsidRDefault="00000000" w:rsidRPr="00000000" w14:paraId="0000001D">
      <w:pPr>
        <w:pageBreakBefore w:val="0"/>
        <w:widowControl w:val="0"/>
        <w:tabs>
          <w:tab w:val="left" w:pos="520"/>
          <w:tab w:val="left" w:pos="6640"/>
        </w:tabs>
        <w:spacing w:before="33" w:lineRule="auto"/>
        <w:ind w:right="-20"/>
        <w:rPr>
          <w:vertAlign w:val="baseline"/>
        </w:rPr>
      </w:pPr>
      <w:r w:rsidDel="00000000" w:rsidR="00000000" w:rsidRPr="00000000">
        <w:rPr>
          <w:vertAlign w:val="baseline"/>
          <w:rtl w:val="0"/>
        </w:rPr>
        <w:t xml:space="preserve">5.</w:t>
        <w:tab/>
      </w:r>
      <w:r w:rsidDel="00000000" w:rsidR="00000000" w:rsidRPr="00000000">
        <w:rPr>
          <w:rtl w:val="0"/>
        </w:rPr>
        <w:t xml:space="preserve">Member and Partner Update</w:t>
      </w:r>
      <w:r w:rsidDel="00000000" w:rsidR="00000000" w:rsidRPr="00000000">
        <w:rPr>
          <w:vertAlign w:val="baseline"/>
          <w:rtl w:val="0"/>
        </w:rPr>
        <w:t xml:space="preserve">                                                                             Liz Tay</w:t>
      </w:r>
      <w:r w:rsidDel="00000000" w:rsidR="00000000" w:rsidRPr="00000000">
        <w:rPr>
          <w:rtl w:val="0"/>
        </w:rPr>
        <w:t xml:space="preserve">lor</w:t>
      </w:r>
      <w:r w:rsidDel="00000000" w:rsidR="00000000" w:rsidRPr="00000000">
        <w:rPr>
          <w:rtl w:val="0"/>
        </w:rPr>
      </w:r>
    </w:p>
    <w:p w:rsidR="00000000" w:rsidDel="00000000" w:rsidP="00000000" w:rsidRDefault="00000000" w:rsidRPr="00000000" w14:paraId="0000001E">
      <w:pPr>
        <w:pageBreakBefore w:val="0"/>
        <w:widowControl w:val="0"/>
        <w:tabs>
          <w:tab w:val="left" w:pos="520"/>
          <w:tab w:val="left" w:pos="6640"/>
        </w:tabs>
        <w:spacing w:before="33" w:lineRule="auto"/>
        <w:ind w:right="-20"/>
        <w:rPr/>
      </w:pPr>
      <w:r w:rsidDel="00000000" w:rsidR="00000000" w:rsidRPr="00000000">
        <w:rPr>
          <w:rtl w:val="0"/>
        </w:rPr>
        <w:t xml:space="preserve">6.        Work Plan                                               Liz Taylor</w:t>
      </w:r>
    </w:p>
    <w:p w:rsidR="00000000" w:rsidDel="00000000" w:rsidP="00000000" w:rsidRDefault="00000000" w:rsidRPr="00000000" w14:paraId="0000001F">
      <w:pPr>
        <w:pageBreakBefore w:val="0"/>
        <w:widowControl w:val="0"/>
        <w:tabs>
          <w:tab w:val="left" w:pos="520"/>
          <w:tab w:val="left" w:pos="6640"/>
        </w:tabs>
        <w:spacing w:before="33" w:lineRule="auto"/>
        <w:ind w:right="-20"/>
        <w:rPr/>
      </w:pPr>
      <w:r w:rsidDel="00000000" w:rsidR="00000000" w:rsidRPr="00000000">
        <w:rPr>
          <w:rtl w:val="0"/>
        </w:rPr>
        <w:t xml:space="preserve">7        Food Summit Updates                                                                                      Michele Mellott</w:t>
      </w:r>
    </w:p>
    <w:p w:rsidR="00000000" w:rsidDel="00000000" w:rsidP="00000000" w:rsidRDefault="00000000" w:rsidRPr="00000000" w14:paraId="00000020">
      <w:pPr>
        <w:pageBreakBefore w:val="0"/>
        <w:widowControl w:val="0"/>
        <w:tabs>
          <w:tab w:val="left" w:pos="540"/>
          <w:tab w:val="left" w:pos="6640"/>
        </w:tabs>
        <w:spacing w:before="33" w:lineRule="auto"/>
        <w:ind w:right="-20"/>
        <w:rPr>
          <w:u w:val="single"/>
          <w:vertAlign w:val="baseline"/>
        </w:rPr>
      </w:pPr>
      <w:r w:rsidDel="00000000" w:rsidR="00000000" w:rsidRPr="00000000">
        <w:rPr>
          <w:rtl w:val="0"/>
        </w:rPr>
        <w:t xml:space="preserve">8.</w:t>
      </w:r>
      <w:r w:rsidDel="00000000" w:rsidR="00000000" w:rsidRPr="00000000">
        <w:rPr>
          <w:vertAlign w:val="baseline"/>
          <w:rtl w:val="0"/>
        </w:rPr>
        <w:tab/>
      </w:r>
      <w:r w:rsidDel="00000000" w:rsidR="00000000" w:rsidRPr="00000000">
        <w:rPr>
          <w:u w:val="single"/>
          <w:vertAlign w:val="baseline"/>
          <w:rtl w:val="0"/>
        </w:rPr>
        <w:t xml:space="preserve">Call to the Public</w:t>
      </w:r>
    </w:p>
    <w:p w:rsidR="00000000" w:rsidDel="00000000" w:rsidP="00000000" w:rsidRDefault="00000000" w:rsidRPr="00000000" w14:paraId="00000021">
      <w:pPr>
        <w:pageBreakBefore w:val="0"/>
        <w:widowControl w:val="0"/>
        <w:ind w:right="162"/>
        <w:rPr>
          <w:vertAlign w:val="baseline"/>
        </w:rPr>
      </w:pPr>
      <w:r w:rsidDel="00000000" w:rsidR="00000000" w:rsidRPr="00000000">
        <w:rPr>
          <w:vertAlign w:val="baseline"/>
          <w:rtl w:val="0"/>
        </w:rPr>
        <w:t xml:space="preserve">This is the time for the public to comment. Members of the Committee may not discuss items that are not specifically identified on the agenda. Therefore, pursuant to A.R.S. § 38-431.01 (H), action taken as a result of public comment will be limited to directing staff to study the matter, responding to any criticism or scheduling the matter for further consideration and decision at a later date.</w:t>
      </w:r>
    </w:p>
    <w:p w:rsidR="00000000" w:rsidDel="00000000" w:rsidP="00000000" w:rsidRDefault="00000000" w:rsidRPr="00000000" w14:paraId="00000022">
      <w:pPr>
        <w:pageBreakBefore w:val="0"/>
        <w:widowControl w:val="0"/>
        <w:tabs>
          <w:tab w:val="left" w:pos="540"/>
        </w:tabs>
        <w:ind w:right="-20"/>
        <w:rPr>
          <w:vertAlign w:val="baseline"/>
        </w:rPr>
      </w:pPr>
      <w:r w:rsidDel="00000000" w:rsidR="00000000" w:rsidRPr="00000000">
        <w:rPr>
          <w:rtl w:val="0"/>
        </w:rPr>
        <w:t xml:space="preserve">10.</w:t>
      </w:r>
      <w:r w:rsidDel="00000000" w:rsidR="00000000" w:rsidRPr="00000000">
        <w:rPr>
          <w:vertAlign w:val="baseline"/>
          <w:rtl w:val="0"/>
        </w:rPr>
        <w:tab/>
      </w:r>
      <w:r w:rsidDel="00000000" w:rsidR="00000000" w:rsidRPr="00000000">
        <w:rPr>
          <w:u w:val="single"/>
          <w:vertAlign w:val="baseline"/>
          <w:rtl w:val="0"/>
        </w:rPr>
        <w:t xml:space="preserve">Executive Session</w:t>
      </w:r>
      <w:r w:rsidDel="00000000" w:rsidR="00000000" w:rsidRPr="00000000">
        <w:rPr>
          <w:rtl w:val="0"/>
        </w:rPr>
      </w:r>
    </w:p>
    <w:p w:rsidR="00000000" w:rsidDel="00000000" w:rsidP="00000000" w:rsidRDefault="00000000" w:rsidRPr="00000000" w14:paraId="00000023">
      <w:pPr>
        <w:pageBreakBefore w:val="0"/>
        <w:widowControl w:val="0"/>
        <w:ind w:right="-20"/>
        <w:rPr>
          <w:vertAlign w:val="baseline"/>
        </w:rPr>
      </w:pPr>
      <w:r w:rsidDel="00000000" w:rsidR="00000000" w:rsidRPr="00000000">
        <w:rPr>
          <w:vertAlign w:val="baseline"/>
          <w:rtl w:val="0"/>
        </w:rPr>
        <w:t xml:space="preserve">To obtain legal advice pursuant to A.R.S. §38-431.03 (A) (3) on any matter on the agenda</w:t>
      </w:r>
    </w:p>
    <w:p w:rsidR="00000000" w:rsidDel="00000000" w:rsidP="00000000" w:rsidRDefault="00000000" w:rsidRPr="00000000" w14:paraId="00000024">
      <w:pPr>
        <w:pageBreakBefore w:val="0"/>
        <w:widowControl w:val="0"/>
        <w:ind w:right="-20"/>
        <w:rPr/>
      </w:pPr>
      <w:r w:rsidDel="00000000" w:rsidR="00000000" w:rsidRPr="00000000">
        <w:rPr>
          <w:rtl w:val="0"/>
        </w:rPr>
      </w:r>
    </w:p>
    <w:p w:rsidR="00000000" w:rsidDel="00000000" w:rsidP="00000000" w:rsidRDefault="00000000" w:rsidRPr="00000000" w14:paraId="00000025">
      <w:pPr>
        <w:pageBreakBefore w:val="0"/>
        <w:widowControl w:val="0"/>
        <w:tabs>
          <w:tab w:val="left" w:pos="540"/>
        </w:tabs>
        <w:ind w:right="-20"/>
        <w:rPr/>
      </w:pPr>
      <w:r w:rsidDel="00000000" w:rsidR="00000000" w:rsidRPr="00000000">
        <w:rPr>
          <w:rtl w:val="0"/>
        </w:rPr>
        <w:t xml:space="preserve">11.</w:t>
      </w:r>
      <w:r w:rsidDel="00000000" w:rsidR="00000000" w:rsidRPr="00000000">
        <w:rPr>
          <w:vertAlign w:val="baseline"/>
          <w:rtl w:val="0"/>
        </w:rPr>
        <w:t xml:space="preserve"> </w:t>
        <w:tab/>
      </w:r>
      <w:r w:rsidDel="00000000" w:rsidR="00000000" w:rsidRPr="00000000">
        <w:rPr>
          <w:u w:val="single"/>
          <w:vertAlign w:val="baseline"/>
          <w:rtl w:val="0"/>
        </w:rPr>
        <w:t xml:space="preserve">Next Meetings</w:t>
      </w:r>
      <w:r w:rsidDel="00000000" w:rsidR="00000000" w:rsidRPr="00000000">
        <w:rPr>
          <w:u w:val="single"/>
          <w:rtl w:val="0"/>
        </w:rPr>
        <w:t xml:space="preserve">  </w:t>
      </w:r>
      <w:r w:rsidDel="00000000" w:rsidR="00000000" w:rsidRPr="00000000">
        <w:rPr>
          <w:vertAlign w:val="baseline"/>
          <w:rtl w:val="0"/>
        </w:rPr>
        <w:t xml:space="preserve">   </w:t>
      </w:r>
      <w:r w:rsidDel="00000000" w:rsidR="00000000" w:rsidRPr="00000000">
        <w:rPr>
          <w:rtl w:val="0"/>
        </w:rPr>
        <w:t xml:space="preserve">12.     Adjourn meeting. </w:t>
      </w:r>
    </w:p>
    <w:p w:rsidR="00000000" w:rsidDel="00000000" w:rsidP="00000000" w:rsidRDefault="00000000" w:rsidRPr="00000000" w14:paraId="00000026">
      <w:pPr>
        <w:pageBreakBefore w:val="0"/>
        <w:widowControl w:val="0"/>
        <w:ind w:right="-20"/>
        <w:rPr/>
      </w:pPr>
      <w:r w:rsidDel="00000000" w:rsidR="00000000" w:rsidRPr="00000000">
        <w:rPr>
          <w:rtl w:val="0"/>
        </w:rPr>
      </w:r>
    </w:p>
    <w:p w:rsidR="00000000" w:rsidDel="00000000" w:rsidP="00000000" w:rsidRDefault="00000000" w:rsidRPr="00000000" w14:paraId="00000027">
      <w:pPr>
        <w:pageBreakBefore w:val="0"/>
        <w:widowControl w:val="0"/>
        <w:spacing w:line="242" w:lineRule="auto"/>
        <w:ind w:right="171"/>
        <w:rPr>
          <w:rFonts w:ascii="Calibri" w:cs="Calibri" w:eastAsia="Calibri" w:hAnsi="Calibri"/>
          <w:sz w:val="18"/>
          <w:szCs w:val="18"/>
          <w:vertAlign w:val="baseline"/>
        </w:rPr>
      </w:pPr>
      <w:r w:rsidDel="00000000" w:rsidR="00000000" w:rsidRPr="00000000">
        <w:rPr>
          <w:sz w:val="18"/>
          <w:szCs w:val="18"/>
          <w:vertAlign w:val="baseline"/>
          <w:rtl w:val="0"/>
        </w:rPr>
        <w:t xml:space="preserve">Person(s) with disabilities may request a reasonable accommodation, such as a sign language interpreter, by contacting Melissa Meek at (602) 542-0925 (voice), or 1-800-367-3839 (TDD Relay). Requests should be made as early as possible to allow time to arrange the accommod</w:t>
      </w:r>
      <w:r w:rsidDel="00000000" w:rsidR="00000000" w:rsidRPr="00000000">
        <w:rPr>
          <w:rFonts w:ascii="Calibri" w:cs="Calibri" w:eastAsia="Calibri" w:hAnsi="Calibri"/>
          <w:sz w:val="18"/>
          <w:szCs w:val="18"/>
          <w:vertAlign w:val="baseline"/>
          <w:rtl w:val="0"/>
        </w:rPr>
        <w:t xml:space="preserve">ation.</w:t>
      </w:r>
    </w:p>
    <w:sectPr>
      <w:type w:val="continuous"/>
      <w:pgSz w:h="15840" w:w="12240" w:orient="portrait"/>
      <w:pgMar w:bottom="1440" w:top="630" w:left="810" w:right="810" w:header="720" w:footer="5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ZapfChan MdIt BT"/>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www.agriculture.az.gov</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ZapfChan MdIt BT" w:cs="ZapfChan MdIt BT" w:eastAsia="ZapfChan MdIt BT" w:hAnsi="ZapfChan MdIt BT"/>
      <w:sz w:val="52"/>
      <w:szCs w:val="52"/>
      <w:vertAlign w:val="baseline"/>
    </w:rPr>
  </w:style>
  <w:style w:type="paragraph" w:styleId="Heading2">
    <w:name w:val="heading 2"/>
    <w:basedOn w:val="Normal"/>
    <w:next w:val="Normal"/>
    <w:pPr>
      <w:keepNext w:val="1"/>
      <w:pageBreakBefore w:val="0"/>
      <w:jc w:val="center"/>
    </w:pPr>
    <w:rPr>
      <w:b w:val="1"/>
      <w:sz w:val="18"/>
      <w:szCs w:val="1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meet.google.com/pxi-vbjm-fcd?authuser=0&amp;hs=122"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mailto:mmellott@azda.gov"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